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NoSpacing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>OBRAZAC 3. PRAVILNIKA O OCJENI RADA NENASTAVNOG OSOBLJA FIN UNSA</w:t>
      </w:r>
    </w:p>
    <w:p>
      <w:pPr>
        <w:pStyle w:val="NoSpacing"/>
        <w:rPr>
          <w:rFonts w:asciiTheme="majorBidi" w:hAnsiTheme="majorBidi" w:cstheme="majorBidi"/>
          <w:sz w:val="24"/>
          <w:szCs w:val="24"/>
        </w:rPr>
      </w:pPr>
    </w:p>
    <w:p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Ocjena rada radnika</w:t>
      </w:r>
    </w:p>
    <w:p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I OSNOVNI PODACI</w:t>
      </w:r>
    </w:p>
    <w:p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LightShading1"/>
        <w:tblW w:w="0" w:type="auto"/>
        <w:tblLook w:val="04A0" w:firstRow="1" w:lastRow="0" w:firstColumn="1" w:lastColumn="0" w:noHBand="0" w:noVBand="1"/>
      </w:tblPr>
      <w:tblGrid>
        <w:gridCol w:w="4644"/>
        <w:gridCol w:w="9498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Ime i prezime radnika</w:t>
            </w:r>
          </w:p>
          <w:p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498" w:type="dxa"/>
          </w:tcPr>
          <w:p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Unutrašnja organizaciona jedinica</w:t>
            </w:r>
          </w:p>
          <w:p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498" w:type="dxa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a) Nastavno-naučna jedinica</w:t>
            </w:r>
          </w:p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b) Zajedničke službe</w:t>
            </w:r>
          </w:p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Podorganizaciona jedinica</w:t>
            </w:r>
          </w:p>
          <w:p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498" w:type="dxa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a) Katedra za _______________________</w:t>
            </w:r>
            <w:r>
              <w:rPr>
                <w:rStyle w:val="FootnoteReference"/>
                <w:rFonts w:asciiTheme="majorBidi" w:hAnsiTheme="majorBidi" w:cstheme="majorBidi"/>
                <w:sz w:val="24"/>
                <w:szCs w:val="24"/>
              </w:rPr>
              <w:footnoteReference w:id="1"/>
            </w:r>
          </w:p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b) Biblioteka</w:t>
            </w:r>
          </w:p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c) Sekretarijat</w:t>
            </w:r>
          </w:p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d) Studentska služba</w:t>
            </w:r>
          </w:p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e) Ured za osiguranje kvaliteta</w:t>
            </w:r>
          </w:p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f) Tehnička služba</w:t>
            </w:r>
          </w:p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Naziv radnog mjesta</w:t>
            </w:r>
          </w:p>
          <w:p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498" w:type="dxa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Ime i prezime neposredno nadređenog rukovodioca</w:t>
            </w:r>
          </w:p>
          <w:p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498" w:type="dxa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Nadležni prodekan(i)</w:t>
            </w:r>
          </w:p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498" w:type="dxa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Ime i prezime dekana</w:t>
            </w:r>
          </w:p>
          <w:p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498" w:type="dxa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Period ocjenjivanja</w:t>
            </w:r>
          </w:p>
          <w:p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498" w:type="dxa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Od: _______________ (dan/mjesec/godina)</w:t>
            </w:r>
          </w:p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Do: _______________ (dan/mjesec/godina)</w:t>
            </w:r>
          </w:p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II KRITERIJI ZA OCJENJIVANJE</w:t>
      </w:r>
    </w:p>
    <w:p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Objašnjenje skale ocjena</w:t>
      </w:r>
    </w:p>
    <w:p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4950"/>
        <w:gridCol w:w="3096"/>
      </w:tblGrid>
      <w:tr>
        <w:tc>
          <w:tcPr>
            <w:tcW w:w="1242" w:type="dxa"/>
          </w:tcPr>
          <w:p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950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Nezadovoljavajući rad</w:t>
            </w:r>
          </w:p>
        </w:tc>
        <w:tc>
          <w:tcPr>
            <w:tcW w:w="3096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manje od 1,99</w:t>
            </w:r>
          </w:p>
        </w:tc>
      </w:tr>
      <w:tr>
        <w:tc>
          <w:tcPr>
            <w:tcW w:w="1242" w:type="dxa"/>
          </w:tcPr>
          <w:p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4950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Zadovoljavajući rad</w:t>
            </w:r>
          </w:p>
        </w:tc>
        <w:tc>
          <w:tcPr>
            <w:tcW w:w="3096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2,00 - 2,99</w:t>
            </w:r>
          </w:p>
        </w:tc>
      </w:tr>
      <w:tr>
        <w:tc>
          <w:tcPr>
            <w:tcW w:w="1242" w:type="dxa"/>
          </w:tcPr>
          <w:p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4950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Uspješan rad</w:t>
            </w:r>
          </w:p>
        </w:tc>
        <w:tc>
          <w:tcPr>
            <w:tcW w:w="3096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3,00 - 3,49</w:t>
            </w:r>
          </w:p>
        </w:tc>
      </w:tr>
      <w:tr>
        <w:tc>
          <w:tcPr>
            <w:tcW w:w="1242" w:type="dxa"/>
          </w:tcPr>
          <w:p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4950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Izuzetno uspješan rad</w:t>
            </w:r>
          </w:p>
        </w:tc>
        <w:tc>
          <w:tcPr>
            <w:tcW w:w="3096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3,50 - 4,00</w:t>
            </w:r>
          </w:p>
        </w:tc>
      </w:tr>
    </w:tbl>
    <w:p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</w:p>
    <w:p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1) Realizacija utvrđenih radnih ciljeva u periodu ocjenjivanja</w:t>
      </w:r>
    </w:p>
    <w:p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5868"/>
        <w:gridCol w:w="3555"/>
        <w:gridCol w:w="3555"/>
      </w:tblGrid>
      <w:tr>
        <w:tc>
          <w:tcPr>
            <w:tcW w:w="1242" w:type="dxa"/>
          </w:tcPr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Redni broj</w:t>
            </w:r>
          </w:p>
        </w:tc>
        <w:tc>
          <w:tcPr>
            <w:tcW w:w="5868" w:type="dxa"/>
          </w:tcPr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Utvrđeni radni ciljevi radniku</w:t>
            </w:r>
          </w:p>
        </w:tc>
        <w:tc>
          <w:tcPr>
            <w:tcW w:w="3555" w:type="dxa"/>
          </w:tcPr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Ocjena realizacije cilja (1-4)</w:t>
            </w:r>
          </w:p>
        </w:tc>
        <w:tc>
          <w:tcPr>
            <w:tcW w:w="3555" w:type="dxa"/>
          </w:tcPr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Komentari neposrednog nadređenog</w:t>
            </w:r>
          </w:p>
        </w:tc>
      </w:tr>
      <w:tr>
        <w:tc>
          <w:tcPr>
            <w:tcW w:w="1242" w:type="dxa"/>
          </w:tcPr>
          <w:p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5868" w:type="dxa"/>
          </w:tcPr>
          <w:p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5" w:type="dxa"/>
          </w:tcPr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555" w:type="dxa"/>
          </w:tcPr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>
        <w:tc>
          <w:tcPr>
            <w:tcW w:w="1242" w:type="dxa"/>
          </w:tcPr>
          <w:p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5868" w:type="dxa"/>
          </w:tcPr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555" w:type="dxa"/>
          </w:tcPr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555" w:type="dxa"/>
          </w:tcPr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>
        <w:tc>
          <w:tcPr>
            <w:tcW w:w="1242" w:type="dxa"/>
          </w:tcPr>
          <w:p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5868" w:type="dxa"/>
          </w:tcPr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555" w:type="dxa"/>
          </w:tcPr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555" w:type="dxa"/>
          </w:tcPr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>
        <w:tc>
          <w:tcPr>
            <w:tcW w:w="1242" w:type="dxa"/>
          </w:tcPr>
          <w:p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4.</w:t>
            </w:r>
          </w:p>
        </w:tc>
        <w:tc>
          <w:tcPr>
            <w:tcW w:w="5868" w:type="dxa"/>
          </w:tcPr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555" w:type="dxa"/>
          </w:tcPr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555" w:type="dxa"/>
          </w:tcPr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>
        <w:tc>
          <w:tcPr>
            <w:tcW w:w="1242" w:type="dxa"/>
          </w:tcPr>
          <w:p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</w:t>
            </w:r>
          </w:p>
        </w:tc>
        <w:tc>
          <w:tcPr>
            <w:tcW w:w="5868" w:type="dxa"/>
          </w:tcPr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555" w:type="dxa"/>
          </w:tcPr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555" w:type="dxa"/>
          </w:tcPr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>
        <w:tc>
          <w:tcPr>
            <w:tcW w:w="1242" w:type="dxa"/>
          </w:tcPr>
          <w:p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6.</w:t>
            </w:r>
          </w:p>
        </w:tc>
        <w:tc>
          <w:tcPr>
            <w:tcW w:w="5868" w:type="dxa"/>
          </w:tcPr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555" w:type="dxa"/>
          </w:tcPr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555" w:type="dxa"/>
          </w:tcPr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>
        <w:tc>
          <w:tcPr>
            <w:tcW w:w="1242" w:type="dxa"/>
          </w:tcPr>
          <w:p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7.</w:t>
            </w:r>
          </w:p>
        </w:tc>
        <w:tc>
          <w:tcPr>
            <w:tcW w:w="5868" w:type="dxa"/>
          </w:tcPr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555" w:type="dxa"/>
          </w:tcPr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555" w:type="dxa"/>
          </w:tcPr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>
        <w:tc>
          <w:tcPr>
            <w:tcW w:w="1242" w:type="dxa"/>
          </w:tcPr>
          <w:p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8.</w:t>
            </w:r>
          </w:p>
        </w:tc>
        <w:tc>
          <w:tcPr>
            <w:tcW w:w="5868" w:type="dxa"/>
          </w:tcPr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555" w:type="dxa"/>
          </w:tcPr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555" w:type="dxa"/>
          </w:tcPr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>
        <w:tc>
          <w:tcPr>
            <w:tcW w:w="1242" w:type="dxa"/>
          </w:tcPr>
          <w:p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9.</w:t>
            </w:r>
          </w:p>
        </w:tc>
        <w:tc>
          <w:tcPr>
            <w:tcW w:w="5868" w:type="dxa"/>
          </w:tcPr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555" w:type="dxa"/>
          </w:tcPr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555" w:type="dxa"/>
          </w:tcPr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>
        <w:tc>
          <w:tcPr>
            <w:tcW w:w="1242" w:type="dxa"/>
          </w:tcPr>
          <w:p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10.</w:t>
            </w:r>
          </w:p>
        </w:tc>
        <w:tc>
          <w:tcPr>
            <w:tcW w:w="5868" w:type="dxa"/>
          </w:tcPr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555" w:type="dxa"/>
          </w:tcPr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555" w:type="dxa"/>
          </w:tcPr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>
        <w:tc>
          <w:tcPr>
            <w:tcW w:w="7110" w:type="dxa"/>
            <w:gridSpan w:val="2"/>
          </w:tcPr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PROSJEČNA OCJENA REALIZACIJE RADNIH CILJEVA</w:t>
            </w:r>
          </w:p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(zbir ocjena podijeljen sa brojem utvrđenih ciljeva)</w:t>
            </w:r>
          </w:p>
        </w:tc>
        <w:tc>
          <w:tcPr>
            <w:tcW w:w="7110" w:type="dxa"/>
            <w:gridSpan w:val="2"/>
            <w:shd w:val="clear" w:color="auto" w:fill="FFFF00"/>
          </w:tcPr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2) Ocjena primjene općih kompetencija </w:t>
      </w:r>
    </w:p>
    <w:p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82"/>
        <w:gridCol w:w="1638"/>
      </w:tblGrid>
      <w:tr>
        <w:tc>
          <w:tcPr>
            <w:tcW w:w="12582" w:type="dxa"/>
          </w:tcPr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1. KVALITET RADA </w:t>
            </w:r>
          </w:p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(stručnost i normativnost u radu, pridržavanje propisanih procedura u radu, pravilnost rada, urednost, temeljitost i preciznost u radu)</w:t>
            </w:r>
          </w:p>
        </w:tc>
        <w:tc>
          <w:tcPr>
            <w:tcW w:w="1638" w:type="dxa"/>
          </w:tcPr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Ocjena</w:t>
            </w:r>
          </w:p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(zaokružiti jednu ocjenu)</w:t>
            </w:r>
          </w:p>
        </w:tc>
      </w:tr>
      <w:tr>
        <w:tc>
          <w:tcPr>
            <w:tcW w:w="12582" w:type="dxa"/>
          </w:tcPr>
          <w:p>
            <w:pPr>
              <w:pStyle w:val="NoSpacing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r-HR"/>
              </w:rPr>
              <w:t>a)  Kvalitet rada radnika je konstantno visok i iznad standarda predviđenih za ovo radno mjesto. Izuzetno je stručan, poštuje sve normative, izuzetno temeljit i precizan u radu.</w:t>
            </w:r>
          </w:p>
        </w:tc>
        <w:tc>
          <w:tcPr>
            <w:tcW w:w="1638" w:type="dxa"/>
          </w:tcPr>
          <w:p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</w:tr>
      <w:tr>
        <w:tc>
          <w:tcPr>
            <w:tcW w:w="12582" w:type="dxa"/>
          </w:tcPr>
          <w:p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hr-H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r-HR"/>
              </w:rPr>
              <w:t xml:space="preserve">b)  Kvalitet rada radnika je u nivou postavljenih standarda za ovo radno mjesto. Stručan je u poslovima koje obavlja, uglavnom poštuje normative i u poslu je odgovoran.                                   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1638" w:type="dxa"/>
          </w:tcPr>
          <w:p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>
        <w:tc>
          <w:tcPr>
            <w:tcW w:w="12582" w:type="dxa"/>
          </w:tcPr>
          <w:p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hr-H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r-HR"/>
              </w:rPr>
              <w:t>c) Kvalitet rada radnika je zadovoljavajući i uglavnom u okviru standarda predviđenih za ovo radno mjesto. Stručnost je na solidnom nivou, ponekad zanemaruje te mu je neophodno ukazivati na normative i poticati ga na veću odgovornost u radu.</w:t>
            </w:r>
          </w:p>
        </w:tc>
        <w:tc>
          <w:tcPr>
            <w:tcW w:w="1638" w:type="dxa"/>
          </w:tcPr>
          <w:p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>
        <w:tc>
          <w:tcPr>
            <w:tcW w:w="12582" w:type="dxa"/>
          </w:tcPr>
          <w:p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hr-H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r-HR"/>
              </w:rPr>
              <w:t xml:space="preserve">d)  Kvalitet rada radnika je nezadovoljavajući i ispod predviđenih standarda za ovo radno mjesto. Evidentna je nedovoljna stručnost i nerijetko izostanak elmentarne odgovornosti u radu.                </w:t>
            </w:r>
          </w:p>
        </w:tc>
        <w:tc>
          <w:tcPr>
            <w:tcW w:w="1638" w:type="dxa"/>
          </w:tcPr>
          <w:p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>
        <w:tc>
          <w:tcPr>
            <w:tcW w:w="14220" w:type="dxa"/>
            <w:gridSpan w:val="2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Poseban komentar ocjenjivača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82"/>
        <w:gridCol w:w="1638"/>
      </w:tblGrid>
      <w:tr>
        <w:tc>
          <w:tcPr>
            <w:tcW w:w="12582" w:type="dxa"/>
          </w:tcPr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2. ODNOS PREMA POSLU </w:t>
            </w:r>
          </w:p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hr-HR"/>
              </w:rPr>
              <w:t>(poštovanje radnog vremena i prisustvo na poslu, efikasnost u korištenju radnog vremena, odgovornost, marljivost, pouzdanost, inicijativa, sposobnost rješavanja problema, posvećenost poslu)</w:t>
            </w:r>
          </w:p>
        </w:tc>
        <w:tc>
          <w:tcPr>
            <w:tcW w:w="1638" w:type="dxa"/>
          </w:tcPr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Ocjena</w:t>
            </w:r>
          </w:p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(zaokružiti jednu ocjenu)</w:t>
            </w:r>
          </w:p>
        </w:tc>
      </w:tr>
      <w:tr>
        <w:tc>
          <w:tcPr>
            <w:tcW w:w="12582" w:type="dxa"/>
          </w:tcPr>
          <w:p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hr-H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r-HR"/>
              </w:rPr>
              <w:t>a) Izuzetno poštuje radno vrijeme i nikad, bez posebnog opravdanog razloga, ne izostaje s posla; konstantno se pridržava propisa o korištenju radnog vremena; pokazuje izuzetnu efikasnost u korištenju radnog vremena; poslu pristupa sa posebnom odgovornošću; preuzima inicijativu u djelokrugu poslova koje obavlja i pokazuje vještinu analize i samostalnog rješavanja problema; maksimalno istrajava na izvršavanju zadataka, pokazuje izuzetnu marljivost i upornost u radu, pokazuje spremnost za učenje od drugih i prenošenje znanja drugim radnika; pokazuje motiviranost u radu i otvorenost za promjene; izuzetno je posvećen poslu; spreman je da se dodatno angažuje i ostaje na poslu i nakon završetka radnog vremena.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hr-H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r-HR"/>
              </w:rPr>
              <w:t>4</w:t>
            </w:r>
          </w:p>
        </w:tc>
      </w:tr>
      <w:tr>
        <w:tc>
          <w:tcPr>
            <w:tcW w:w="12582" w:type="dxa"/>
          </w:tcPr>
          <w:p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hr-H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r-HR"/>
              </w:rPr>
              <w:t>b) Poštuje radno vrijeme i vrlo rijetko izostaje s posla; pridržava se propisa o korištenju radnog vremena;  poslu pristupa sa velikim stepenom odgovornosti; po potrebi je spreman preuzeti inicijativu u djelokrugu poslova koje obavlja i samostalno rješavati probleme; istrajava na izvršavanju zadataka; pokazuje motiviranost i posvećenost poslu.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hr-H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r-HR"/>
              </w:rPr>
              <w:t>3</w:t>
            </w:r>
          </w:p>
        </w:tc>
      </w:tr>
      <w:tr>
        <w:tc>
          <w:tcPr>
            <w:tcW w:w="12582" w:type="dxa"/>
          </w:tcPr>
          <w:p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hr-H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r-HR"/>
              </w:rPr>
              <w:t>c) Pridržava se propisa o korištenju radnog vremena sa manjim izuzecima;  poslu pristupa sa zadovoljavajućim stepenom odgovornosti; ne preuzima inicijativu u djelokrugu poslova koje obavlja i ne pokazuje vještinu samostalnog rješavanja problema; nije istrajan u izvršavanju zadataka; pokazuje manju motiviranost i posvećenost poslu.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hr-H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r-HR"/>
              </w:rPr>
              <w:t>2</w:t>
            </w:r>
          </w:p>
        </w:tc>
      </w:tr>
      <w:tr>
        <w:tc>
          <w:tcPr>
            <w:tcW w:w="12582" w:type="dxa"/>
          </w:tcPr>
          <w:p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hr-H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r-HR"/>
              </w:rPr>
              <w:lastRenderedPageBreak/>
              <w:t>d) Nedovoljno poštuje radno vrijeme i češće izostaje s posla; ne pridržava se propisa o korištenju radnog vremena; poslu ne pristupa sa odgovornošću i nemaran je u radu; nikad ne preuzima inicijativu u djelokrugu poslova koje obavlja i nije vješt u samostalnom rješavanju složenijih problema; brzo odustaje od izvršavanja zadataka; pokazuje nemotiviranost i neposvećenost poslu.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hr-H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r-HR"/>
              </w:rPr>
              <w:t>1</w:t>
            </w:r>
          </w:p>
        </w:tc>
      </w:tr>
      <w:tr>
        <w:tc>
          <w:tcPr>
            <w:tcW w:w="14220" w:type="dxa"/>
            <w:gridSpan w:val="2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Poseban komentar ocjenjivača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82"/>
        <w:gridCol w:w="1638"/>
      </w:tblGrid>
      <w:tr>
        <w:tc>
          <w:tcPr>
            <w:tcW w:w="12582" w:type="dxa"/>
          </w:tcPr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3. PRAVOVREMENOST U OBAVLJANJU POSLOVA </w:t>
            </w:r>
          </w:p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hr-HR"/>
              </w:rPr>
              <w:t>(poštovanje radnog vremena i prisustvo na poslu, efikasnost u korištenju radnog vremena, odgovornost, marljivost, pouzdanost, inicijativa, sposobnost rješavanja problema, posvećenost poslu)</w:t>
            </w:r>
          </w:p>
        </w:tc>
        <w:tc>
          <w:tcPr>
            <w:tcW w:w="1638" w:type="dxa"/>
          </w:tcPr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Ocjena</w:t>
            </w:r>
          </w:p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(zaokružiti jednu ocjenu)</w:t>
            </w:r>
          </w:p>
        </w:tc>
      </w:tr>
      <w:tr>
        <w:tc>
          <w:tcPr>
            <w:tcW w:w="12582" w:type="dxa"/>
          </w:tcPr>
          <w:p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hr-H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r-HR"/>
              </w:rPr>
              <w:t>a) Posao uvijek obavlja pravovremeno, uz puno poštivanje propisanih, naloženih i/ili dogovorenih rokova i ograničenja; izuzetno uspješno planira i izvršava poslove prema prioritetima i hitnosti; sposoban je da u kratkom vremenu  obavi značajnu količinu posla, vodi računa o pravovremenoj realizaciji svojih obaveza; izuzetno je fleksibilan i prilagodljiv.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hr-H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r-HR"/>
              </w:rPr>
              <w:t>4</w:t>
            </w:r>
          </w:p>
        </w:tc>
      </w:tr>
      <w:tr>
        <w:tc>
          <w:tcPr>
            <w:tcW w:w="12582" w:type="dxa"/>
          </w:tcPr>
          <w:p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hr-H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r-HR"/>
              </w:rPr>
              <w:t xml:space="preserve">b) Posao uglavnom obavlja pravovremeno, uz poštivanje propisanih i utvrđenih rokova i ograničenja; pokazuje sposobnost izvršavanja poslova prema prioritetima i hitnosti; vodi računa o pravovremenoj realizaciji svojih obaveza; fleksibilan je i prilagodljiv. 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hr-H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r-HR"/>
              </w:rPr>
              <w:t>3</w:t>
            </w:r>
          </w:p>
        </w:tc>
      </w:tr>
      <w:tr>
        <w:tc>
          <w:tcPr>
            <w:tcW w:w="12582" w:type="dxa"/>
          </w:tcPr>
          <w:p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hr-H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r-HR"/>
              </w:rPr>
              <w:t xml:space="preserve">c) Posao, uz manja odstupanja od propisanih i utvrđenih rokova, obavlja u zadovoljavajućem vremenu; uglavnom vodi računa o minimumu pravovremene realizacije svojih obaveza. 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hr-H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r-HR"/>
              </w:rPr>
              <w:t>2</w:t>
            </w:r>
          </w:p>
        </w:tc>
      </w:tr>
      <w:tr>
        <w:tc>
          <w:tcPr>
            <w:tcW w:w="12582" w:type="dxa"/>
          </w:tcPr>
          <w:p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hr-H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r-HR"/>
              </w:rPr>
              <w:t>d) Posao ne obavlja u zadovoljavajućem vremenu; radnika je potrebno često upozoravati na obavezu pravovremene realizacije njegovih obaveza.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hr-H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r-HR"/>
              </w:rPr>
              <w:t>1</w:t>
            </w:r>
          </w:p>
        </w:tc>
      </w:tr>
      <w:tr>
        <w:tc>
          <w:tcPr>
            <w:tcW w:w="14220" w:type="dxa"/>
            <w:gridSpan w:val="2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Poseban komentar ocjenjivača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82"/>
        <w:gridCol w:w="1638"/>
      </w:tblGrid>
      <w:tr>
        <w:tc>
          <w:tcPr>
            <w:tcW w:w="12582" w:type="dxa"/>
          </w:tcPr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4. ODNOS PREMA NADREĐENIM, RADNIM KOLEGAMA I STRANKAMA</w:t>
            </w:r>
          </w:p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hr-HR"/>
              </w:rPr>
              <w:t>(spremnost za konstruktivne kritike i sugestije, ponašanje prema nadređenim, radnim kolegama i strankama, poštivanje kodeksa i standarda pristojnosti i ljubaznosti, odgovornosti, oblici komunikacije)</w:t>
            </w:r>
          </w:p>
        </w:tc>
        <w:tc>
          <w:tcPr>
            <w:tcW w:w="1638" w:type="dxa"/>
          </w:tcPr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Ocjena</w:t>
            </w:r>
          </w:p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(zaokružiti jednu ocjenu)</w:t>
            </w:r>
          </w:p>
        </w:tc>
      </w:tr>
      <w:tr>
        <w:tc>
          <w:tcPr>
            <w:tcW w:w="12582" w:type="dxa"/>
          </w:tcPr>
          <w:p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hr-HR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hr-HR"/>
              </w:rPr>
              <w:t xml:space="preserve">a)  Radnik pokazuje izuzetnu spremnost i otvorenost u prihvatanju i davanju  konstruktivnih kritika i sugestija; pokazuje izuzetno poštovanje prema nadređenim i vodi računa o hijerarhiji u odnosima na poslu; u odnosu prema radnim kolegama i strankama pokazuje izuzetno poštivanje kodeksa i standarda pristojnosti i ljubaznosti; spreman je priznati grešku i prihvatiti odgovornost; pokazuje vještinu aktivnog slušanja i učešća u konstruktivnoj diskusiji; pokazuje izuzetnu spremnost za rad u 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hr-HR"/>
              </w:rPr>
              <w:lastRenderedPageBreak/>
              <w:t xml:space="preserve">timu; pruža izuzetan doprinos pozitivnoj radnoj atmosferi/pozitivnoj klimi u radnom kolektivu; u komunikaciji je jasan, određen i konstruktivan. 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hr-HR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hr-HR"/>
              </w:rPr>
              <w:lastRenderedPageBreak/>
              <w:t>4</w:t>
            </w:r>
          </w:p>
        </w:tc>
      </w:tr>
      <w:tr>
        <w:tc>
          <w:tcPr>
            <w:tcW w:w="12582" w:type="dxa"/>
          </w:tcPr>
          <w:p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hr-HR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hr-HR"/>
              </w:rPr>
              <w:t>b) Radnik pokazuje spremnost i otvorenost u prihvatanju i davanju  konstruktivnih kritika i sugestija; pokazuje poštivanje prema nadređenim; u odnosu prema drugim radnicima poštuje kodeks i standarde pristojnosti i ljubaznosti; spreman je priznati grešku i prihvatiti odgovornost; pokazuje vještinu aktivnog slušanja i postavljanja adekvatnih  pitanja; uglavnom je spreman raditi u timu; pruža značajan doprinos pozitivnoj radnoj atmosferi/pozitivnoj klimi u radnom kolektivu; u komunikaciji je jasan, određen i konstruktivan.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hr-HR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hr-HR"/>
              </w:rPr>
              <w:t>3</w:t>
            </w:r>
          </w:p>
        </w:tc>
      </w:tr>
      <w:tr>
        <w:tc>
          <w:tcPr>
            <w:tcW w:w="12582" w:type="dxa"/>
          </w:tcPr>
          <w:p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hr-HR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hr-HR"/>
              </w:rPr>
              <w:t>c) Radnikova spremnost i otvorenost u prihvatanju i davanju konstuktivnih kritika i sugestija je na zadovoljavajućem nivou; prema nadređenim pokazuje određen stepen poštivanja; uglavnom poštuje kodeks i standarde pristojnosti i ljubaznosti; nije uvijek spreman priznati grešku i prihvatiti odgovornost; nije uvijek spreman raditi u timu; doprinos radnika pozitivnoj radnoj atmosferi/pozitivnoj klimi u radnom kolektivu je mali ili neznatan; u komunikaciji je jasan ali ne uvijek i konstuktivan.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hr-HR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hr-HR"/>
              </w:rPr>
              <w:t>2</w:t>
            </w:r>
          </w:p>
        </w:tc>
      </w:tr>
      <w:tr>
        <w:tc>
          <w:tcPr>
            <w:tcW w:w="12582" w:type="dxa"/>
          </w:tcPr>
          <w:p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hr-HR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hr-HR"/>
              </w:rPr>
              <w:t xml:space="preserve">c) Radnik nije spreman i otvoren za prihvatanje konstruktivnih kritika i sugestija; pokazuje spremnost davanja neosnovanih i nekorektnih kritika; ne pokazuje poštivanje prema nadređenima; ne poštuje ili slabo poštuje kodeks i standarde pristojnosti i ljubaznosti; nije spreman priznati grešku i prihvatiti odgovornost; nije spreman raditi u timu; neosnovanim kritikama ili neetičnim postupanjem negativno utječe na radnu atmosferu/klimu u radnom kolektivu; svoje greške ili propuste prebacuje na druge, sklon je neosnovanoj kritici drugih radnika i nadređenih, organizacije i načina rada i sl.  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hr-HR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hr-HR"/>
              </w:rPr>
              <w:t>1</w:t>
            </w:r>
          </w:p>
        </w:tc>
      </w:tr>
      <w:tr>
        <w:tc>
          <w:tcPr>
            <w:tcW w:w="14220" w:type="dxa"/>
            <w:gridSpan w:val="2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Poseban komentar ocjenjivača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82"/>
        <w:gridCol w:w="1638"/>
      </w:tblGrid>
      <w:tr>
        <w:tc>
          <w:tcPr>
            <w:tcW w:w="12582" w:type="dxa"/>
          </w:tcPr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5. ODNOS PREMA UVOĐENJU NOVIH VJEŠTINA, MODELA I NAČINA RADA</w:t>
            </w:r>
          </w:p>
        </w:tc>
        <w:tc>
          <w:tcPr>
            <w:tcW w:w="1638" w:type="dxa"/>
          </w:tcPr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Ocjena</w:t>
            </w:r>
          </w:p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(zaokružiti jednu ocjenu)</w:t>
            </w:r>
          </w:p>
        </w:tc>
      </w:tr>
      <w:tr>
        <w:tc>
          <w:tcPr>
            <w:tcW w:w="12582" w:type="dxa"/>
          </w:tcPr>
          <w:p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hr-H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r-HR"/>
              </w:rPr>
              <w:t xml:space="preserve">a) Izuzetno brzo prihvata uvođenje novih vještina, modela i načina rada i prilagođava se novim uslovima rada; pokazuje veliku sposobnost samostalnog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eastAsia="bs-Latn-BA"/>
              </w:rPr>
              <w:t>iznala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hr-HR" w:eastAsia="bs-Latn-BA"/>
              </w:rPr>
              <w:t>ž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eastAsia="bs-Latn-BA"/>
              </w:rPr>
              <w:t>enja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hr-HR" w:eastAsia="bs-Latn-BA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eastAsia="bs-Latn-BA"/>
              </w:rPr>
              <w:t>rje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hr-HR" w:eastAsia="bs-Latn-BA"/>
              </w:rPr>
              <w:t>š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eastAsia="bs-Latn-BA"/>
              </w:rPr>
              <w:t>enja problema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hr-HR" w:eastAsia="bs-Latn-BA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eastAsia="bs-Latn-BA"/>
              </w:rPr>
              <w:t>i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hr-HR" w:eastAsia="bs-Latn-BA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eastAsia="bs-Latn-BA"/>
              </w:rPr>
              <w:t>davanja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hr-HR" w:eastAsia="bs-Latn-BA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eastAsia="bs-Latn-BA"/>
              </w:rPr>
              <w:t>ideja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hr-HR" w:eastAsia="bs-Latn-BA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eastAsia="bs-Latn-BA"/>
              </w:rPr>
              <w:t>kojima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hr-HR" w:eastAsia="bs-Latn-BA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eastAsia="bs-Latn-BA"/>
              </w:rPr>
              <w:t>se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hr-HR" w:eastAsia="bs-Latn-BA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eastAsia="bs-Latn-BA"/>
              </w:rPr>
              <w:t>unapre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hr-HR" w:eastAsia="bs-Latn-BA"/>
              </w:rPr>
              <w:t>đ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eastAsia="bs-Latn-BA"/>
              </w:rPr>
              <w:t>uju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hr-HR" w:eastAsia="bs-Latn-BA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eastAsia="bs-Latn-BA"/>
              </w:rPr>
              <w:t>radni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hr-HR" w:eastAsia="bs-Latn-BA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eastAsia="bs-Latn-BA"/>
              </w:rPr>
              <w:t>procesi</w:t>
            </w:r>
            <w:r>
              <w:rPr>
                <w:rFonts w:asciiTheme="majorBidi" w:hAnsiTheme="majorBidi" w:cstheme="majorBidi"/>
                <w:sz w:val="24"/>
                <w:szCs w:val="24"/>
                <w:lang w:val="hr-HR"/>
              </w:rPr>
              <w:t>, te prenošenja usvojenog znanja drugim radnicima.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hr-H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r-HR"/>
              </w:rPr>
              <w:t>4</w:t>
            </w:r>
          </w:p>
        </w:tc>
      </w:tr>
      <w:tr>
        <w:tc>
          <w:tcPr>
            <w:tcW w:w="12582" w:type="dxa"/>
          </w:tcPr>
          <w:p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hr-H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r-HR"/>
              </w:rPr>
              <w:t xml:space="preserve">b) Relativno brzo prihvata uvođenje novih vještina, modela i način rada i prilagođava se u svom daljem radu. Pokazuje sposobnost samostalnog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eastAsia="bs-Latn-BA"/>
              </w:rPr>
              <w:t>iznalaženja rješenja problema.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hr-H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r-HR"/>
              </w:rPr>
              <w:t>3</w:t>
            </w:r>
          </w:p>
        </w:tc>
      </w:tr>
      <w:tr>
        <w:tc>
          <w:tcPr>
            <w:tcW w:w="12582" w:type="dxa"/>
          </w:tcPr>
          <w:p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hr-H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r-HR"/>
              </w:rPr>
              <w:t>c) Za usvajanje novih vještina, modela i načina rada i prilagođavanje u svome radu zahtijeva više instrukcija. Potrebno je duže nadgledanje rada i praćenje usvajanja instrukcija.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hr-H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r-HR"/>
              </w:rPr>
              <w:t>2</w:t>
            </w:r>
          </w:p>
        </w:tc>
      </w:tr>
      <w:tr>
        <w:tc>
          <w:tcPr>
            <w:tcW w:w="12582" w:type="dxa"/>
          </w:tcPr>
          <w:p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hr-H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r-HR"/>
              </w:rPr>
              <w:t>d) Ne usvaja ili izrazito slabo usvaja nove vještine, modele i načine rada, teško se prilagođava novim uslovima rada. Pokazuje otpor prema instrukcijama i nespremnost za njihovo usvajanje u svom radu.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hr-H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r-HR"/>
              </w:rPr>
              <w:t>1</w:t>
            </w:r>
          </w:p>
        </w:tc>
      </w:tr>
      <w:tr>
        <w:tc>
          <w:tcPr>
            <w:tcW w:w="14220" w:type="dxa"/>
            <w:gridSpan w:val="2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Poseban komentar ocjenjivača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10"/>
        <w:gridCol w:w="7110"/>
      </w:tblGrid>
      <w:tr>
        <w:tc>
          <w:tcPr>
            <w:tcW w:w="7110" w:type="dxa"/>
          </w:tcPr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PROSJEČNA OCJENA</w:t>
            </w:r>
          </w:p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(zbir ocjena podijeljen sa brojem općih kompetencija)</w:t>
            </w:r>
          </w:p>
        </w:tc>
        <w:tc>
          <w:tcPr>
            <w:tcW w:w="7110" w:type="dxa"/>
            <w:shd w:val="clear" w:color="auto" w:fill="FFFF00"/>
          </w:tcPr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3) Ocjena kvaliteta usluga podrške nastavi i naučnoistraživačkom procesu</w:t>
      </w:r>
    </w:p>
    <w:p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9"/>
        <w:gridCol w:w="6663"/>
      </w:tblGrid>
      <w:tr>
        <w:tc>
          <w:tcPr>
            <w:tcW w:w="7479" w:type="dxa"/>
          </w:tcPr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OCJENA </w:t>
            </w:r>
          </w:p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(unijeti iz Izvještaja Odbora za osiguranje kvaliteta)</w:t>
            </w:r>
          </w:p>
        </w:tc>
        <w:tc>
          <w:tcPr>
            <w:tcW w:w="6663" w:type="dxa"/>
            <w:shd w:val="clear" w:color="auto" w:fill="FFFF00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>
      <w:pPr>
        <w:pStyle w:val="NoSpacing"/>
        <w:rPr>
          <w:rFonts w:asciiTheme="majorBidi" w:hAnsiTheme="majorBidi" w:cstheme="majorBidi"/>
          <w:sz w:val="24"/>
          <w:szCs w:val="24"/>
        </w:rPr>
      </w:pPr>
    </w:p>
    <w:p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III KONAČNA OCJENA RADNIKA</w:t>
      </w:r>
    </w:p>
    <w:p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6945"/>
        <w:gridCol w:w="6663"/>
      </w:tblGrid>
      <w:tr>
        <w:tc>
          <w:tcPr>
            <w:tcW w:w="7479" w:type="dxa"/>
            <w:gridSpan w:val="2"/>
          </w:tcPr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Kriterij za ocjenjivanje</w:t>
            </w:r>
          </w:p>
        </w:tc>
        <w:tc>
          <w:tcPr>
            <w:tcW w:w="6663" w:type="dxa"/>
          </w:tcPr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Ocjena</w:t>
            </w:r>
          </w:p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(1-4)</w:t>
            </w:r>
          </w:p>
        </w:tc>
      </w:tr>
      <w:tr>
        <w:tc>
          <w:tcPr>
            <w:tcW w:w="534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1)</w:t>
            </w:r>
          </w:p>
        </w:tc>
        <w:tc>
          <w:tcPr>
            <w:tcW w:w="6945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Realizacija utvrđenih radnih ciljeva u periodu ocjenjivanja</w:t>
            </w:r>
          </w:p>
        </w:tc>
        <w:tc>
          <w:tcPr>
            <w:tcW w:w="6663" w:type="dxa"/>
            <w:shd w:val="clear" w:color="auto" w:fill="FFFF00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</w:tr>
      <w:tr>
        <w:tc>
          <w:tcPr>
            <w:tcW w:w="534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2)</w:t>
            </w:r>
          </w:p>
        </w:tc>
        <w:tc>
          <w:tcPr>
            <w:tcW w:w="6945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Ocjena primjene općih kompetencija </w:t>
            </w:r>
          </w:p>
        </w:tc>
        <w:tc>
          <w:tcPr>
            <w:tcW w:w="6663" w:type="dxa"/>
            <w:shd w:val="clear" w:color="auto" w:fill="FFFF00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</w:tr>
      <w:tr>
        <w:tc>
          <w:tcPr>
            <w:tcW w:w="534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3)</w:t>
            </w:r>
          </w:p>
        </w:tc>
        <w:tc>
          <w:tcPr>
            <w:tcW w:w="6945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Kvalitet usluga podrške nastavi i naučnoistraživačkom procesu</w:t>
            </w:r>
          </w:p>
        </w:tc>
        <w:tc>
          <w:tcPr>
            <w:tcW w:w="6663" w:type="dxa"/>
            <w:shd w:val="clear" w:color="auto" w:fill="FFFF00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</w:tr>
      <w:tr>
        <w:tc>
          <w:tcPr>
            <w:tcW w:w="7479" w:type="dxa"/>
            <w:gridSpan w:val="2"/>
          </w:tcPr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Konačna numerička ocjena</w:t>
            </w:r>
          </w:p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FFC000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>
        <w:tc>
          <w:tcPr>
            <w:tcW w:w="7479" w:type="dxa"/>
            <w:gridSpan w:val="2"/>
          </w:tcPr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Opisna ocjena</w:t>
            </w:r>
          </w:p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FFC000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>
      <w:pPr>
        <w:pStyle w:val="NoSpacing"/>
        <w:rPr>
          <w:rFonts w:asciiTheme="majorBidi" w:hAnsiTheme="majorBidi" w:cstheme="majorBidi"/>
          <w:sz w:val="24"/>
          <w:szCs w:val="24"/>
        </w:rPr>
      </w:pPr>
    </w:p>
    <w:p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IV PROFESIONALNI RAZVOJ</w:t>
      </w:r>
    </w:p>
    <w:p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Identifikujte oblasti znanja, vještina i ponašanja (kompetencije) u kojima je radniku potrebno stručno usavršavanje radi daljeg profesionalnog razvoja.</w:t>
      </w:r>
    </w:p>
    <w:p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2049"/>
      </w:tblGrid>
      <w:tr>
        <w:tc>
          <w:tcPr>
            <w:tcW w:w="2093" w:type="dxa"/>
          </w:tcPr>
          <w:p>
            <w:pPr>
              <w:pStyle w:val="NoSpacing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Oblast znanja</w:t>
            </w:r>
          </w:p>
          <w:p>
            <w:pPr>
              <w:pStyle w:val="NoSpacing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049" w:type="dxa"/>
          </w:tcPr>
          <w:p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>
        <w:tc>
          <w:tcPr>
            <w:tcW w:w="2093" w:type="dxa"/>
          </w:tcPr>
          <w:p>
            <w:pPr>
              <w:pStyle w:val="NoSpacing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Kompetencije</w:t>
            </w:r>
          </w:p>
          <w:p>
            <w:pPr>
              <w:pStyle w:val="NoSpacing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049" w:type="dxa"/>
          </w:tcPr>
          <w:p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Komentari radnika</w:t>
      </w:r>
      <w:r>
        <w:rPr>
          <w:rFonts w:asciiTheme="majorBidi" w:hAnsiTheme="majorBidi" w:cstheme="majorBidi"/>
          <w:sz w:val="24"/>
          <w:szCs w:val="24"/>
        </w:rPr>
        <w:t>:</w:t>
      </w:r>
    </w:p>
    <w:p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</w:t>
      </w:r>
      <w:r>
        <w:rPr>
          <w:rFonts w:asciiTheme="majorBidi" w:hAnsiTheme="majorBidi" w:cstheme="majorBidi"/>
          <w:i/>
          <w:iCs/>
          <w:sz w:val="24"/>
          <w:szCs w:val="24"/>
        </w:rPr>
        <w:t>popunjava radnik  za vrijeme razgovora o ocjenjivanju</w:t>
      </w:r>
      <w:r>
        <w:rPr>
          <w:rFonts w:asciiTheme="majorBidi" w:hAnsiTheme="majorBidi" w:cstheme="majorBidi"/>
          <w:sz w:val="24"/>
          <w:szCs w:val="24"/>
        </w:rPr>
        <w:t>)</w:t>
      </w:r>
    </w:p>
    <w:p>
      <w:pPr>
        <w:pStyle w:val="NoSpacing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20"/>
      </w:tblGrid>
      <w:tr>
        <w:tc>
          <w:tcPr>
            <w:tcW w:w="14220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>
      <w:pPr>
        <w:pStyle w:val="NoSpacing"/>
        <w:rPr>
          <w:rFonts w:asciiTheme="majorBidi" w:hAnsiTheme="majorBidi" w:cstheme="majorBidi"/>
          <w:sz w:val="24"/>
          <w:szCs w:val="24"/>
        </w:rPr>
      </w:pPr>
    </w:p>
    <w:p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Komentari neposredno nadređenog</w:t>
      </w:r>
      <w:r>
        <w:rPr>
          <w:rFonts w:asciiTheme="majorBidi" w:hAnsiTheme="majorBidi" w:cstheme="majorBidi"/>
          <w:sz w:val="24"/>
          <w:szCs w:val="24"/>
        </w:rPr>
        <w:t>:</w:t>
      </w:r>
    </w:p>
    <w:p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</w:t>
      </w:r>
      <w:r>
        <w:rPr>
          <w:rFonts w:asciiTheme="majorBidi" w:hAnsiTheme="majorBidi" w:cstheme="majorBidi"/>
          <w:i/>
          <w:iCs/>
          <w:sz w:val="24"/>
          <w:szCs w:val="24"/>
        </w:rPr>
        <w:t>ako je rad radnika ocijenjen „nezadovoljavajući rad“ ili „izuzetno uspješan rad“ obavezno je napisati obrazloženje</w:t>
      </w:r>
      <w:r>
        <w:rPr>
          <w:rFonts w:asciiTheme="majorBidi" w:hAnsiTheme="majorBidi" w:cstheme="majorBidi"/>
          <w:sz w:val="24"/>
          <w:szCs w:val="24"/>
        </w:rPr>
        <w:t>)</w:t>
      </w:r>
    </w:p>
    <w:p>
      <w:pPr>
        <w:pStyle w:val="NoSpacing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20"/>
      </w:tblGrid>
      <w:tr>
        <w:tc>
          <w:tcPr>
            <w:tcW w:w="14220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>
      <w:pPr>
        <w:pStyle w:val="NoSpacing"/>
        <w:rPr>
          <w:rFonts w:asciiTheme="majorBidi" w:hAnsiTheme="majorBidi" w:cstheme="majorBidi"/>
          <w:sz w:val="24"/>
          <w:szCs w:val="24"/>
        </w:rPr>
      </w:pPr>
    </w:p>
    <w:p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Komentari nadležnog prodekana/nadležnih prodekana</w:t>
      </w:r>
      <w:r>
        <w:rPr>
          <w:rFonts w:asciiTheme="majorBidi" w:hAnsiTheme="majorBidi" w:cstheme="majorBidi"/>
          <w:sz w:val="24"/>
          <w:szCs w:val="24"/>
        </w:rPr>
        <w:t>:</w:t>
      </w:r>
    </w:p>
    <w:p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</w:t>
      </w:r>
      <w:r>
        <w:rPr>
          <w:rFonts w:asciiTheme="majorBidi" w:hAnsiTheme="majorBidi" w:cstheme="majorBidi"/>
          <w:i/>
          <w:iCs/>
          <w:sz w:val="24"/>
          <w:szCs w:val="24"/>
        </w:rPr>
        <w:t>ako je rad radnika ocijenjen „nezadovoljavajući rad“ ili „izuzetno uspješan rad“ obavezno je napisati obrazloženje</w:t>
      </w:r>
      <w:r>
        <w:rPr>
          <w:rFonts w:asciiTheme="majorBidi" w:hAnsiTheme="majorBidi" w:cstheme="majorBidi"/>
          <w:sz w:val="24"/>
          <w:szCs w:val="24"/>
        </w:rPr>
        <w:t>)</w:t>
      </w:r>
    </w:p>
    <w:p>
      <w:pPr>
        <w:pStyle w:val="NoSpacing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20"/>
      </w:tblGrid>
      <w:tr>
        <w:tc>
          <w:tcPr>
            <w:tcW w:w="14220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>
      <w:pPr>
        <w:pStyle w:val="NoSpacing"/>
        <w:rPr>
          <w:rFonts w:asciiTheme="majorBidi" w:hAnsiTheme="majorBidi" w:cstheme="majorBidi"/>
          <w:sz w:val="24"/>
          <w:szCs w:val="24"/>
        </w:rPr>
      </w:pPr>
    </w:p>
    <w:p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Komentari dekana</w:t>
      </w:r>
      <w:r>
        <w:rPr>
          <w:rFonts w:asciiTheme="majorBidi" w:hAnsiTheme="majorBidi" w:cstheme="majorBidi"/>
          <w:sz w:val="24"/>
          <w:szCs w:val="24"/>
        </w:rPr>
        <w:t>:</w:t>
      </w:r>
    </w:p>
    <w:p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</w:t>
      </w:r>
      <w:r>
        <w:rPr>
          <w:rFonts w:asciiTheme="majorBidi" w:hAnsiTheme="majorBidi" w:cstheme="majorBidi"/>
          <w:i/>
          <w:iCs/>
          <w:sz w:val="24"/>
          <w:szCs w:val="24"/>
        </w:rPr>
        <w:t>ako je rad radnika ocijenjen „nezadovoljavajući rad“ ili „izuzetno uspješan rad“ obavezno je napisati obrazloženje</w:t>
      </w:r>
      <w:r>
        <w:rPr>
          <w:rFonts w:asciiTheme="majorBidi" w:hAnsiTheme="majorBidi" w:cstheme="majorBidi"/>
          <w:sz w:val="24"/>
          <w:szCs w:val="24"/>
        </w:rPr>
        <w:t>)</w:t>
      </w:r>
    </w:p>
    <w:p>
      <w:pPr>
        <w:pStyle w:val="NoSpacing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20"/>
      </w:tblGrid>
      <w:tr>
        <w:tc>
          <w:tcPr>
            <w:tcW w:w="14220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>
      <w:pPr>
        <w:pStyle w:val="NoSpacing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20"/>
      </w:tblGrid>
      <w:tr>
        <w:tc>
          <w:tcPr>
            <w:tcW w:w="142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Potpis radnika:</w:t>
            </w:r>
          </w:p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Datum:</w:t>
            </w:r>
          </w:p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>
        <w:tc>
          <w:tcPr>
            <w:tcW w:w="142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Potpis neposredno nadređenog:</w:t>
            </w:r>
          </w:p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Datum:</w:t>
            </w:r>
          </w:p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>
        <w:tc>
          <w:tcPr>
            <w:tcW w:w="142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Potpis nadležnog prodekana:</w:t>
            </w:r>
          </w:p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Datum:</w:t>
            </w:r>
          </w:p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Potpis nadležnog prodekana:</w:t>
            </w:r>
          </w:p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Datum:</w:t>
            </w:r>
          </w:p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>
        <w:tc>
          <w:tcPr>
            <w:tcW w:w="1422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Potpis dekana:</w:t>
            </w:r>
          </w:p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Datum:</w:t>
            </w:r>
          </w:p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>
      <w:pPr>
        <w:pStyle w:val="NoSpacing"/>
        <w:rPr>
          <w:rFonts w:asciiTheme="majorBidi" w:hAnsiTheme="majorBidi" w:cstheme="majorBidi"/>
          <w:sz w:val="24"/>
          <w:szCs w:val="24"/>
        </w:rPr>
      </w:pPr>
    </w:p>
    <w:p/>
    <w:sectPr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pStyle w:val="FootnoteText"/>
        <w:rPr>
          <w:rFonts w:asciiTheme="majorBidi" w:hAnsiTheme="majorBidi" w:cstheme="majorBidi"/>
        </w:rPr>
      </w:pPr>
      <w:r>
        <w:rPr>
          <w:rStyle w:val="FootnoteReference"/>
          <w:rFonts w:asciiTheme="majorBidi" w:hAnsiTheme="majorBidi" w:cstheme="majorBidi"/>
        </w:rPr>
        <w:footnoteRef/>
      </w:r>
      <w:r>
        <w:rPr>
          <w:rFonts w:asciiTheme="majorBidi" w:hAnsiTheme="majorBidi" w:cstheme="majorBidi"/>
        </w:rPr>
        <w:t xml:space="preserve"> Odnosi se na ocjenjivanje stručnih saradnika (nenastavno osoblje).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EC0148-3803-4299-91F4-8D6583D5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table" w:customStyle="1" w:styleId="LightShading1">
    <w:name w:val="Light Shading1"/>
    <w:basedOn w:val="TableNormal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0C06783-3D30-44BD-BB9A-8B5560E7F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1575</Words>
  <Characters>8983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Nedim Begovic</dc:creator>
  <cp:lastModifiedBy>emina.muderizovic</cp:lastModifiedBy>
  <cp:revision>2</cp:revision>
  <dcterms:created xsi:type="dcterms:W3CDTF">2022-05-12T08:47:00Z</dcterms:created>
  <dcterms:modified xsi:type="dcterms:W3CDTF">2022-05-12T08:47:00Z</dcterms:modified>
</cp:coreProperties>
</file>