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Ljetni  semestar </w:t>
      </w:r>
      <w:r>
        <w:rPr>
          <w:b/>
        </w:rPr>
        <w:t>raspored časova  2024/25. god.</w:t>
      </w:r>
    </w:p>
    <w:p>
      <w:pPr>
        <w:rPr>
          <w:b/>
        </w:rPr>
      </w:pPr>
      <w:r>
        <w:rPr>
          <w:b/>
        </w:rPr>
        <w:t xml:space="preserve">Islamska vjeronauka i religijska pedagogija  IV godina </w:t>
      </w:r>
    </w:p>
    <w:p/>
    <w:tbl>
      <w:tblPr>
        <w:tblStyle w:val="TableGrid"/>
        <w:tblpPr w:leftFromText="180" w:rightFromText="180" w:vertAnchor="page" w:horzAnchor="margin" w:tblpX="-856" w:tblpY="2322"/>
        <w:tblW w:w="11194" w:type="dxa"/>
        <w:tblLook w:val="04A0" w:firstRow="1" w:lastRow="0" w:firstColumn="1" w:lastColumn="0" w:noHBand="0" w:noVBand="1"/>
      </w:tblPr>
      <w:tblGrid>
        <w:gridCol w:w="846"/>
        <w:gridCol w:w="2410"/>
        <w:gridCol w:w="2268"/>
        <w:gridCol w:w="2407"/>
        <w:gridCol w:w="1703"/>
        <w:gridCol w:w="1560"/>
      </w:tblGrid>
      <w:tr>
        <w:trPr>
          <w:trHeight w:val="132"/>
        </w:trPr>
        <w:tc>
          <w:tcPr>
            <w:tcW w:w="846" w:type="dxa"/>
          </w:tcPr>
          <w:p>
            <w:r>
              <w:t>Čas</w:t>
            </w:r>
          </w:p>
        </w:tc>
        <w:tc>
          <w:tcPr>
            <w:tcW w:w="2410" w:type="dxa"/>
          </w:tcPr>
          <w:p>
            <w:r>
              <w:t>PONEDJELJAK</w:t>
            </w:r>
          </w:p>
        </w:tc>
        <w:tc>
          <w:tcPr>
            <w:tcW w:w="2268" w:type="dxa"/>
          </w:tcPr>
          <w:p>
            <w:r>
              <w:t>UTORAK</w:t>
            </w:r>
          </w:p>
          <w:p/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SRIJEDA </w:t>
            </w:r>
          </w:p>
          <w:p>
            <w:pPr>
              <w:rPr>
                <w:rFonts w:ascii="Calibri" w:hAnsi="Calibri"/>
              </w:rPr>
            </w:pPr>
          </w:p>
        </w:tc>
        <w:tc>
          <w:tcPr>
            <w:tcW w:w="1703" w:type="dxa"/>
          </w:tcPr>
          <w:p>
            <w:r>
              <w:t xml:space="preserve">ČETVRTAK </w:t>
            </w:r>
          </w:p>
          <w:p/>
        </w:tc>
        <w:tc>
          <w:tcPr>
            <w:tcW w:w="1560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846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2410" w:type="dxa"/>
          </w:tcPr>
          <w:p/>
        </w:tc>
        <w:tc>
          <w:tcPr>
            <w:tcW w:w="2268" w:type="dxa"/>
          </w:tcPr>
          <w:p/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03" w:type="dxa"/>
          </w:tcPr>
          <w:p/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Psihologija obrazovanja Vježbe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112</w:t>
            </w:r>
          </w:p>
        </w:tc>
        <w:tc>
          <w:tcPr>
            <w:tcW w:w="170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Vježbe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II Vježbe</w:t>
            </w:r>
          </w:p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Psihologija obrazovanja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112</w:t>
            </w:r>
          </w:p>
        </w:tc>
        <w:tc>
          <w:tcPr>
            <w:tcW w:w="1703" w:type="dxa"/>
          </w:tcPr>
          <w:p>
            <w:r>
              <w:rPr>
                <w:rFonts w:ascii="Calibri" w:hAnsi="Calibri"/>
                <w:color w:val="000000"/>
              </w:rPr>
              <w:t xml:space="preserve">Religijski odgoj i </w:t>
            </w:r>
            <w:proofErr w:type="spellStart"/>
            <w:r>
              <w:rPr>
                <w:rFonts w:ascii="Calibri" w:hAnsi="Calibri"/>
                <w:color w:val="000000"/>
              </w:rPr>
              <w:t>okultna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kultura  Vježbe 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Theme="majorBidi" w:eastAsia="Arial Narrow" w:hAnsiTheme="majorBidi" w:cstheme="majorBidi"/>
              </w:rPr>
            </w:pPr>
            <w:proofErr w:type="spellStart"/>
            <w:r>
              <w:rPr>
                <w:rFonts w:asciiTheme="majorBidi" w:eastAsia="Arial Narrow" w:hAnsiTheme="majorBidi" w:cstheme="majorBidi"/>
              </w:rPr>
              <w:t>Inkluzija</w:t>
            </w:r>
            <w:proofErr w:type="spellEnd"/>
            <w:r>
              <w:rPr>
                <w:rFonts w:asciiTheme="majorBidi" w:eastAsia="Arial Narrow" w:hAnsiTheme="majorBidi" w:cstheme="majorBidi"/>
              </w:rPr>
              <w:t xml:space="preserve"> osoba sa posebnim potrebama i religijski odgoj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PZ  P3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religijskog odgoja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Psihologija obrazovanja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112</w:t>
            </w:r>
          </w:p>
        </w:tc>
        <w:tc>
          <w:tcPr>
            <w:tcW w:w="170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Religijski odgoj i </w:t>
            </w:r>
            <w:proofErr w:type="spellStart"/>
            <w:r>
              <w:rPr>
                <w:rFonts w:ascii="Calibri" w:hAnsi="Calibri"/>
                <w:color w:val="000000"/>
              </w:rPr>
              <w:t>okultna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kultura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156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846" w:type="dxa"/>
          </w:tcPr>
          <w:p>
            <w:pPr>
              <w:rPr>
                <w:color w:val="FF0000"/>
              </w:rPr>
            </w:pPr>
            <w:bookmarkStart w:id="0" w:name="_GoBack"/>
            <w:r>
              <w:rPr>
                <w:color w:val="FF0000"/>
              </w:rPr>
              <w:t>5.</w:t>
            </w:r>
          </w:p>
          <w:p>
            <w:r>
              <w:rPr>
                <w:color w:val="FF0000"/>
              </w:rPr>
              <w:t>12:00</w:t>
            </w:r>
            <w:bookmarkEnd w:id="0"/>
          </w:p>
        </w:tc>
        <w:tc>
          <w:tcPr>
            <w:tcW w:w="2410" w:type="dxa"/>
            <w:vAlign w:val="bottom"/>
          </w:tcPr>
          <w:p>
            <w:pPr>
              <w:rPr>
                <w:rFonts w:asciiTheme="majorBidi" w:eastAsia="Arial Narrow" w:hAnsiTheme="majorBidi" w:cstheme="majorBidi"/>
              </w:rPr>
            </w:pPr>
            <w:proofErr w:type="spellStart"/>
            <w:r>
              <w:rPr>
                <w:rFonts w:asciiTheme="majorBidi" w:eastAsia="Arial Narrow" w:hAnsiTheme="majorBidi" w:cstheme="majorBidi"/>
              </w:rPr>
              <w:t>Inkluzija</w:t>
            </w:r>
            <w:proofErr w:type="spellEnd"/>
            <w:r>
              <w:rPr>
                <w:rFonts w:asciiTheme="majorBidi" w:eastAsia="Arial Narrow" w:hAnsiTheme="majorBidi" w:cstheme="majorBidi"/>
              </w:rPr>
              <w:t xml:space="preserve"> osoba sa posebnim potrebama i religijski odgoj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PZ  P3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religijskog odgoja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0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Religijski odgoj i </w:t>
            </w:r>
            <w:proofErr w:type="spellStart"/>
            <w:r>
              <w:rPr>
                <w:rFonts w:ascii="Calibri" w:hAnsi="Calibri"/>
                <w:color w:val="000000"/>
              </w:rPr>
              <w:t>okultna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 kultura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156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tr>
        <w:tc>
          <w:tcPr>
            <w:tcW w:w="846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Metodika vjerske nastave II 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Amfiteatar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religijskog odgoja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Vježbe</w:t>
            </w:r>
            <w:r>
              <w:rPr>
                <w:rFonts w:ascii="Calibri" w:hAnsi="Calibri"/>
                <w:color w:val="000000"/>
              </w:rPr>
              <w:t xml:space="preserve">   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2407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II Vježbe</w:t>
            </w:r>
          </w:p>
        </w:tc>
        <w:tc>
          <w:tcPr>
            <w:tcW w:w="170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Metodika vjerske nastave II   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Amfiteatar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religijskog odgoja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Vježbe</w:t>
            </w:r>
            <w:r>
              <w:rPr>
                <w:rFonts w:ascii="Calibri" w:hAnsi="Calibri"/>
                <w:color w:val="000000"/>
              </w:rPr>
              <w:t xml:space="preserve">    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</w:t>
            </w:r>
          </w:p>
        </w:tc>
        <w:tc>
          <w:tcPr>
            <w:tcW w:w="240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II Vježbe</w:t>
            </w:r>
          </w:p>
        </w:tc>
        <w:tc>
          <w:tcPr>
            <w:tcW w:w="1703" w:type="dxa"/>
          </w:tcPr>
          <w:p/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Theme="majorBidi" w:eastAsia="Arial Narrow" w:hAnsiTheme="majorBidi" w:cstheme="majorBidi"/>
              </w:rPr>
            </w:pPr>
            <w:proofErr w:type="spellStart"/>
            <w:r>
              <w:rPr>
                <w:rFonts w:asciiTheme="majorBidi" w:eastAsia="Arial Narrow" w:hAnsiTheme="majorBidi" w:cstheme="majorBidi"/>
              </w:rPr>
              <w:t>Inkluzija</w:t>
            </w:r>
            <w:proofErr w:type="spellEnd"/>
            <w:r>
              <w:rPr>
                <w:rFonts w:asciiTheme="majorBidi" w:eastAsia="Arial Narrow" w:hAnsiTheme="majorBidi" w:cstheme="majorBidi"/>
              </w:rPr>
              <w:t xml:space="preserve"> osoba sa posebnim potrebama i religijski odgoj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Učionica 110</w:t>
            </w: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0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</w:t>
            </w:r>
          </w:p>
          <w:p>
            <w:r>
              <w:rPr>
                <w:rFonts w:ascii="Calibri" w:hAnsi="Calibri"/>
                <w:color w:val="000000"/>
              </w:rPr>
              <w:t xml:space="preserve">Centar za </w:t>
            </w:r>
            <w:proofErr w:type="spellStart"/>
            <w:r>
              <w:rPr>
                <w:rFonts w:ascii="Calibri" w:hAnsi="Calibri"/>
                <w:color w:val="000000"/>
              </w:rPr>
              <w:t>Kur'an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 sunnet  II Vježbe</w:t>
            </w:r>
          </w:p>
        </w:tc>
        <w:tc>
          <w:tcPr>
            <w:tcW w:w="1703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/>
        </w:tc>
      </w:tr>
      <w:tr>
        <w:tc>
          <w:tcPr>
            <w:tcW w:w="846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2410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07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Praktikum Metodika vjerske nastave</w:t>
            </w:r>
          </w:p>
        </w:tc>
        <w:tc>
          <w:tcPr>
            <w:tcW w:w="1703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/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Islamska vjeronauka i religijska pedagogija</w:t>
      </w:r>
    </w:p>
    <w:tbl>
      <w:tblPr>
        <w:tblW w:w="102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3121"/>
        <w:gridCol w:w="2268"/>
        <w:gridCol w:w="3118"/>
        <w:gridCol w:w="1271"/>
      </w:tblGrid>
      <w:tr>
        <w:trPr>
          <w:trHeight w:val="345"/>
        </w:trPr>
        <w:tc>
          <w:tcPr>
            <w:tcW w:w="424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Predmet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Nastava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Vježbe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Sati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Metodika religijskog odgoja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Dina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Sijamhodžić-Nadarević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Dina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Sijamhodžić-Nadarević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Metodika vjerske nastave II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(Predavanja  sa Teolozima i Imamima)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Dina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Sijamhodžić-Nadarević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Emina Kadić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Psihologija obrazovanja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Amela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Dautbegović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Mirzeta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Brkić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Religijski odgoj  i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okultna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kultura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dr. Orhan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Jašić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Davud Efendić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Praktikum Metodike vjerske nastave 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Dina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Sijamhodžić-Nadarević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Emina Kadić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1+0+3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Inkluzija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osoba sa posebnim potrebama i religijski odgoj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Haris Cerić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Mirzeta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Brkić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>
      <w:pPr>
        <w:rPr>
          <w:sz w:val="18"/>
          <w:szCs w:val="18"/>
        </w:rPr>
      </w:pPr>
    </w:p>
    <w:p/>
    <w:p>
      <w:r>
        <w:rPr>
          <w:color w:val="FF0000"/>
        </w:rPr>
        <w:t xml:space="preserve"> </w:t>
      </w:r>
    </w:p>
    <w:p/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66C19-7EC0-4D68-83B7-CCA09465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2025-02-10T10:29:00Z</cp:lastPrinted>
  <dcterms:created xsi:type="dcterms:W3CDTF">2025-03-26T08:48:00Z</dcterms:created>
  <dcterms:modified xsi:type="dcterms:W3CDTF">2025-03-26T08:48:00Z</dcterms:modified>
</cp:coreProperties>
</file>