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 xml:space="preserve">Alma Kubura </w:t>
      </w:r>
      <w:proofErr w:type="spellStart"/>
      <w:r>
        <w:rPr>
          <w:b/>
          <w:bCs/>
          <w:i/>
          <w:iCs/>
          <w:sz w:val="32"/>
          <w:lang w:val="bs-Latn-BA" w:eastAsia="bs-Latn-BA"/>
        </w:rPr>
        <w:t>Glamočić</w:t>
      </w:r>
      <w:proofErr w:type="spellEnd"/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proofErr w:type="spellStart"/>
      <w:r>
        <w:rPr>
          <w:b/>
          <w:i/>
          <w:iCs/>
          <w:color w:val="222222"/>
          <w:shd w:val="clear" w:color="auto" w:fill="FFFFFF"/>
        </w:rPr>
        <w:t>Aiša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, r. a, </w:t>
      </w:r>
      <w:proofErr w:type="spellStart"/>
      <w:r>
        <w:rPr>
          <w:b/>
          <w:i/>
          <w:iCs/>
          <w:color w:val="222222"/>
          <w:shd w:val="clear" w:color="auto" w:fill="FFFFFF"/>
        </w:rPr>
        <w:t>kao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kritučarka</w:t>
      </w:r>
      <w:proofErr w:type="spellEnd"/>
      <w:r>
        <w:rPr>
          <w:b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b/>
          <w:i/>
          <w:iCs/>
          <w:color w:val="222222"/>
          <w:shd w:val="clear" w:color="auto" w:fill="FFFFFF"/>
        </w:rPr>
        <w:t>hadisa</w:t>
      </w:r>
      <w:proofErr w:type="spellEnd"/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>srijedu</w:t>
      </w:r>
      <w:bookmarkStart w:id="0" w:name="_GoBack"/>
      <w:bookmarkEnd w:id="0"/>
      <w:r>
        <w:rPr>
          <w:b/>
          <w:bCs/>
          <w:lang w:val="bs-Latn-BA" w:eastAsia="bs-Latn-BA"/>
        </w:rPr>
        <w:t xml:space="preserve">, 25. 06.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835B-A2C6-4B7B-8212-CCF4FDB3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2025-06-19T08:53:00Z</dcterms:created>
  <dcterms:modified xsi:type="dcterms:W3CDTF">2025-06-19T08:53:00Z</dcterms:modified>
</cp:coreProperties>
</file>